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09826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66F9ED3A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1D0EBAFD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59284B7C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79E4AA23" w14:textId="77777777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545FF59A" w14:textId="77777777" w:rsidR="005D6D57" w:rsidRPr="009604A7" w:rsidRDefault="005D6D57" w:rsidP="009604A7"/>
    <w:p w14:paraId="005DFC93" w14:textId="77777777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3195ED3A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4EE6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899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514A138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1379D2DD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439B22E1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400C45" w:rsidRPr="00097457" w14:paraId="3A8BCD19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9B97" w14:textId="77777777" w:rsidR="00400C45" w:rsidRPr="00097457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E1AD" w14:textId="77777777" w:rsidR="00400C45" w:rsidRPr="00097457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2040" w:type="dxa"/>
          </w:tcPr>
          <w:p w14:paraId="51B159F3" w14:textId="77777777" w:rsidR="00400C45" w:rsidRPr="00097457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35.70</w:t>
            </w:r>
          </w:p>
        </w:tc>
        <w:tc>
          <w:tcPr>
            <w:tcW w:w="2040" w:type="dxa"/>
          </w:tcPr>
          <w:p w14:paraId="1BD4B0A5" w14:textId="77777777" w:rsidR="00400C45" w:rsidRPr="00097457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36.41</w:t>
            </w:r>
          </w:p>
        </w:tc>
        <w:tc>
          <w:tcPr>
            <w:tcW w:w="1822" w:type="dxa"/>
          </w:tcPr>
          <w:p w14:paraId="49897CF6" w14:textId="77777777" w:rsidR="00400C45" w:rsidRPr="00097457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37.14</w:t>
            </w:r>
          </w:p>
        </w:tc>
      </w:tr>
    </w:tbl>
    <w:p w14:paraId="204808DB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06888C0F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3F71CE67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5A08C4F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0CAE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18B9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503CD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1439B59B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4F8BE1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400C45" w:rsidRPr="00097457" w14:paraId="66445735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8F64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96E4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2040" w:type="dxa"/>
          </w:tcPr>
          <w:p w14:paraId="1B797F13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35.70</w:t>
            </w:r>
          </w:p>
        </w:tc>
        <w:tc>
          <w:tcPr>
            <w:tcW w:w="2040" w:type="dxa"/>
          </w:tcPr>
          <w:p w14:paraId="1F0CB201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36.41</w:t>
            </w:r>
          </w:p>
        </w:tc>
        <w:tc>
          <w:tcPr>
            <w:tcW w:w="1822" w:type="dxa"/>
          </w:tcPr>
          <w:p w14:paraId="45158962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37.14</w:t>
            </w:r>
          </w:p>
        </w:tc>
      </w:tr>
    </w:tbl>
    <w:p w14:paraId="66D26797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30DCF5CE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27CEB388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3FCA3E20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161DC6C0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4CBE23AC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535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3AD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7ED77D5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C1B2D79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9AC67F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400C45" w:rsidRPr="00097457" w14:paraId="10201BEF" w14:textId="77777777" w:rsidTr="009604A7">
        <w:trPr>
          <w:jc w:val="center"/>
        </w:trPr>
        <w:tc>
          <w:tcPr>
            <w:tcW w:w="769" w:type="dxa"/>
          </w:tcPr>
          <w:p w14:paraId="0F5E80EE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E162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4BE8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</w:tcPr>
          <w:p w14:paraId="1BB80549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</w:tcPr>
          <w:p w14:paraId="7DAF7AB0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</w:tcPr>
          <w:p w14:paraId="5002A27B" w14:textId="77777777" w:rsidR="00400C45" w:rsidRPr="00F83604" w:rsidRDefault="00400C45" w:rsidP="00400C45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</w:tr>
      <w:tr w:rsidR="00400C45" w:rsidRPr="00097457" w14:paraId="02D6EB3E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3ADC4BBC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2FB5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065F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  <w:shd w:val="clear" w:color="auto" w:fill="FFFFFF"/>
          </w:tcPr>
          <w:p w14:paraId="14EA5FA1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  <w:shd w:val="clear" w:color="auto" w:fill="FFFFFF"/>
          </w:tcPr>
          <w:p w14:paraId="7E63534A" w14:textId="77777777" w:rsidR="00400C45" w:rsidRPr="00F83604" w:rsidRDefault="00400C45" w:rsidP="00400C45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  <w:tc>
          <w:tcPr>
            <w:tcW w:w="1710" w:type="dxa"/>
            <w:shd w:val="clear" w:color="auto" w:fill="FFFFFF"/>
          </w:tcPr>
          <w:p w14:paraId="437F39BD" w14:textId="77777777" w:rsidR="00400C45" w:rsidRPr="00F83604" w:rsidRDefault="00400C45" w:rsidP="00400C45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2A6DDA">
              <w:rPr>
                <w:rFonts w:ascii="Arial" w:hAnsi="Arial" w:cs="Arial"/>
                <w:sz w:val="20"/>
                <w:szCs w:val="20"/>
              </w:rPr>
              <w:t>$ 0 (N/A</w:t>
            </w:r>
          </w:p>
        </w:tc>
      </w:tr>
      <w:tr w:rsidR="00D66770" w:rsidRPr="00097457" w14:paraId="673ADA65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0A0B6C5D" w14:textId="77777777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E029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747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970,000</w:t>
            </w:r>
          </w:p>
        </w:tc>
        <w:tc>
          <w:tcPr>
            <w:tcW w:w="1710" w:type="dxa"/>
            <w:shd w:val="clear" w:color="auto" w:fill="FFFFFF"/>
          </w:tcPr>
          <w:p w14:paraId="379C628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990,000</w:t>
            </w:r>
          </w:p>
        </w:tc>
        <w:tc>
          <w:tcPr>
            <w:tcW w:w="1710" w:type="dxa"/>
            <w:shd w:val="clear" w:color="auto" w:fill="FFFFFF"/>
          </w:tcPr>
          <w:p w14:paraId="057CAD76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1,000,000</w:t>
            </w:r>
          </w:p>
        </w:tc>
        <w:tc>
          <w:tcPr>
            <w:tcW w:w="1710" w:type="dxa"/>
            <w:shd w:val="clear" w:color="auto" w:fill="FFFFFF"/>
          </w:tcPr>
          <w:p w14:paraId="1B17483C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1,025,000</w:t>
            </w:r>
          </w:p>
        </w:tc>
      </w:tr>
      <w:tr w:rsidR="00D66770" w:rsidRPr="00097457" w14:paraId="39BBBBFF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57D94229" w14:textId="77777777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0732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DD02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350,000</w:t>
            </w:r>
          </w:p>
        </w:tc>
        <w:tc>
          <w:tcPr>
            <w:tcW w:w="1710" w:type="dxa"/>
            <w:shd w:val="clear" w:color="auto" w:fill="FFFFFF"/>
          </w:tcPr>
          <w:p w14:paraId="53F77961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357,500</w:t>
            </w:r>
          </w:p>
        </w:tc>
        <w:tc>
          <w:tcPr>
            <w:tcW w:w="1710" w:type="dxa"/>
            <w:shd w:val="clear" w:color="auto" w:fill="FFFFFF"/>
          </w:tcPr>
          <w:p w14:paraId="57F86E68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365,000</w:t>
            </w:r>
          </w:p>
        </w:tc>
        <w:tc>
          <w:tcPr>
            <w:tcW w:w="1710" w:type="dxa"/>
            <w:shd w:val="clear" w:color="auto" w:fill="FFFFFF"/>
          </w:tcPr>
          <w:p w14:paraId="70B06265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372,500</w:t>
            </w:r>
          </w:p>
        </w:tc>
      </w:tr>
      <w:tr w:rsidR="00D66770" w:rsidRPr="00097457" w14:paraId="10D0F448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227F07D" w14:textId="77777777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D6D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7BA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125,000</w:t>
            </w:r>
          </w:p>
        </w:tc>
        <w:tc>
          <w:tcPr>
            <w:tcW w:w="1710" w:type="dxa"/>
            <w:shd w:val="clear" w:color="auto" w:fill="FFFFFF"/>
          </w:tcPr>
          <w:p w14:paraId="0681A02D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127,500</w:t>
            </w:r>
          </w:p>
        </w:tc>
        <w:tc>
          <w:tcPr>
            <w:tcW w:w="1710" w:type="dxa"/>
            <w:shd w:val="clear" w:color="auto" w:fill="FFFFFF"/>
          </w:tcPr>
          <w:p w14:paraId="35EA94BF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130,000</w:t>
            </w:r>
          </w:p>
        </w:tc>
        <w:tc>
          <w:tcPr>
            <w:tcW w:w="1710" w:type="dxa"/>
            <w:shd w:val="clear" w:color="auto" w:fill="FFFFFF"/>
          </w:tcPr>
          <w:p w14:paraId="03593849" w14:textId="77777777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FF0467">
              <w:rPr>
                <w:rFonts w:ascii="Arial" w:hAnsi="Arial" w:cs="Arial"/>
                <w:sz w:val="20"/>
                <w:szCs w:val="20"/>
              </w:rPr>
              <w:t xml:space="preserve"> 132,500</w:t>
            </w:r>
          </w:p>
        </w:tc>
      </w:tr>
    </w:tbl>
    <w:p w14:paraId="3B3824A1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3E21059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429A1AB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2CFEFBF4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1A3F3" w14:textId="77777777" w:rsidR="004962EC" w:rsidRDefault="004962EC" w:rsidP="00DA40D3">
      <w:pPr>
        <w:spacing w:after="0" w:line="240" w:lineRule="auto"/>
      </w:pPr>
      <w:r>
        <w:separator/>
      </w:r>
    </w:p>
  </w:endnote>
  <w:endnote w:type="continuationSeparator" w:id="0">
    <w:p w14:paraId="409F1020" w14:textId="77777777" w:rsidR="004962EC" w:rsidRDefault="004962EC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2EE22" w14:textId="77777777" w:rsidR="004962EC" w:rsidRDefault="004962EC" w:rsidP="00DA40D3">
      <w:pPr>
        <w:spacing w:after="0" w:line="240" w:lineRule="auto"/>
      </w:pPr>
      <w:r>
        <w:separator/>
      </w:r>
    </w:p>
  </w:footnote>
  <w:footnote w:type="continuationSeparator" w:id="0">
    <w:p w14:paraId="0BFFC9FE" w14:textId="77777777" w:rsidR="004962EC" w:rsidRDefault="004962EC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F93C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D8"/>
    <w:rsid w:val="0001775F"/>
    <w:rsid w:val="00097457"/>
    <w:rsid w:val="000D0B6B"/>
    <w:rsid w:val="000E1640"/>
    <w:rsid w:val="00143055"/>
    <w:rsid w:val="0015673E"/>
    <w:rsid w:val="001C570A"/>
    <w:rsid w:val="002A3344"/>
    <w:rsid w:val="002D0D93"/>
    <w:rsid w:val="003323C1"/>
    <w:rsid w:val="003B4094"/>
    <w:rsid w:val="003D5358"/>
    <w:rsid w:val="003F76F3"/>
    <w:rsid w:val="0040026C"/>
    <w:rsid w:val="00400C45"/>
    <w:rsid w:val="004962EC"/>
    <w:rsid w:val="004E6D4B"/>
    <w:rsid w:val="00502DCA"/>
    <w:rsid w:val="005031F3"/>
    <w:rsid w:val="005D6D57"/>
    <w:rsid w:val="005E479B"/>
    <w:rsid w:val="006D0FE4"/>
    <w:rsid w:val="007D1F9F"/>
    <w:rsid w:val="0091377F"/>
    <w:rsid w:val="009604A7"/>
    <w:rsid w:val="009B004D"/>
    <w:rsid w:val="00A3683C"/>
    <w:rsid w:val="00A669E8"/>
    <w:rsid w:val="00A87AAC"/>
    <w:rsid w:val="00A9276D"/>
    <w:rsid w:val="00AD6858"/>
    <w:rsid w:val="00B1724D"/>
    <w:rsid w:val="00B515F2"/>
    <w:rsid w:val="00BB67A9"/>
    <w:rsid w:val="00CD540A"/>
    <w:rsid w:val="00D05D55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12B7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45875D2F8254698A1F96F3E3B7A78" ma:contentTypeVersion="13" ma:contentTypeDescription="Create a new document." ma:contentTypeScope="" ma:versionID="e5a420badca35c0b454eb88deceab87f">
  <xsd:schema xmlns:xsd="http://www.w3.org/2001/XMLSchema" xmlns:xs="http://www.w3.org/2001/XMLSchema" xmlns:p="http://schemas.microsoft.com/office/2006/metadata/properties" xmlns:ns3="925ddf46-9c8f-4170-abc6-9913d5846c30" xmlns:ns4="b6d04f1d-59e2-49da-bfee-b5ba162a4f98" targetNamespace="http://schemas.microsoft.com/office/2006/metadata/properties" ma:root="true" ma:fieldsID="84fbe3da0c79ef97665d5364aeb0f33a" ns3:_="" ns4:_="">
    <xsd:import namespace="925ddf46-9c8f-4170-abc6-9913d5846c30"/>
    <xsd:import namespace="b6d04f1d-59e2-49da-bfee-b5ba162a4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df46-9c8f-4170-abc6-9913d5846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04f1d-59e2-49da-bfee-b5ba162a4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BB4A-A959-4DC1-9760-FDB5CC87BF4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6d04f1d-59e2-49da-bfee-b5ba162a4f98"/>
    <ds:schemaRef ds:uri="925ddf46-9c8f-4170-abc6-9913d5846c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29ED-2C9F-494A-AFB0-4960F7A75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df46-9c8f-4170-abc6-9913d5846c30"/>
    <ds:schemaRef ds:uri="b6d04f1d-59e2-49da-bfee-b5ba162a4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AF589-937E-402E-91EE-9B6F93E3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Burkey, Jennifer</cp:lastModifiedBy>
  <cp:revision>2</cp:revision>
  <dcterms:created xsi:type="dcterms:W3CDTF">2021-01-15T19:51:00Z</dcterms:created>
  <dcterms:modified xsi:type="dcterms:W3CDTF">2021-01-15T19:51:00Z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0x0101004C545875D2F8254698A1F96F3E3B7A78</vt:lpwstr>
  </property>
  <property fmtid="{D5CDD505-2E9C-101B-9397-08002B2CF9AE}" pid="3" name="_docset_NoMedatataSyncRequired">
    <vt:lpwstr>False</vt:lpwstr>
  </property>
  <property fmtid="{D5CDD505-2E9C-101B-9397-08002B2CF9AE}" pid="4" name="_NewReviewCycle">
    <vt:lpwstr/>
  </property>
</Properties>
</file>